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C373E" w14:textId="77777777" w:rsidR="003B6551" w:rsidRPr="00992E1D" w:rsidRDefault="003B6551">
      <w:pPr>
        <w:jc w:val="both"/>
        <w:rPr>
          <w:rFonts w:asciiTheme="minorHAnsi" w:hAnsiTheme="minorHAnsi" w:cstheme="minorHAnsi"/>
          <w:noProof/>
          <w:sz w:val="22"/>
          <w:szCs w:val="22"/>
          <w:lang w:val="sr-Cyrl-RS"/>
        </w:rPr>
      </w:pPr>
      <w:bookmarkStart w:id="0" w:name="_GoBack"/>
      <w:bookmarkEnd w:id="0"/>
    </w:p>
    <w:p w14:paraId="67D0062F" w14:textId="41A4B4F8" w:rsidR="003B6551" w:rsidRPr="00992E1D" w:rsidRDefault="0026317C">
      <w:pPr>
        <w:jc w:val="both"/>
        <w:rPr>
          <w:rFonts w:asciiTheme="minorHAnsi" w:hAnsiTheme="minorHAnsi" w:cstheme="minorHAnsi"/>
          <w:noProof/>
          <w:sz w:val="22"/>
          <w:szCs w:val="22"/>
          <w:lang w:val="sr-Cyrl-RS"/>
        </w:rPr>
      </w:pPr>
      <w:r w:rsidRPr="00992E1D">
        <w:rPr>
          <w:rFonts w:asciiTheme="minorHAnsi" w:hAnsiTheme="minorHAnsi" w:cstheme="minorHAnsi"/>
          <w:noProof/>
          <w:sz w:val="22"/>
          <w:szCs w:val="22"/>
          <w:lang w:val="sr-Cyrl-RS"/>
        </w:rPr>
        <w:t>На основу решења стечајног судије Привредног суда у Нишу</w:t>
      </w:r>
      <w:r w:rsidRPr="00992E1D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</w:t>
      </w:r>
      <w:r w:rsidRPr="00992E1D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2. Ст. бр. 990/2010 од </w:t>
      </w:r>
      <w:r w:rsidRPr="00992E1D">
        <w:rPr>
          <w:rFonts w:asciiTheme="minorHAnsi" w:hAnsiTheme="minorHAnsi" w:cstheme="minorHAnsi"/>
          <w:noProof/>
          <w:sz w:val="22"/>
          <w:szCs w:val="22"/>
          <w:lang w:val="bs-Latn-BA"/>
        </w:rPr>
        <w:t>13.09.2010</w:t>
      </w:r>
      <w:r w:rsidRPr="00992E1D">
        <w:rPr>
          <w:rFonts w:asciiTheme="minorHAnsi" w:hAnsiTheme="minorHAnsi" w:cstheme="minorHAnsi"/>
          <w:noProof/>
          <w:sz w:val="22"/>
          <w:szCs w:val="22"/>
          <w:lang w:val="sr-Cyrl-RS"/>
        </w:rPr>
        <w:t>. године, те у складу са чланoм 131. 132. и 133. Закона о стечају (Службени гласник Републике Србије број 104/2009) и Националним стандардом број 5 – Национални стандард о начину и поступку уновчења имовине стечајног дужника (Службени гласник Републике Србије број 13/2010), стечајни управник</w:t>
      </w:r>
      <w:r w:rsidR="00D84493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 стечајног дужника</w:t>
      </w:r>
      <w:r w:rsidRPr="00992E1D">
        <w:rPr>
          <w:rFonts w:asciiTheme="minorHAnsi" w:hAnsiTheme="minorHAnsi" w:cstheme="minorHAnsi"/>
          <w:noProof/>
          <w:sz w:val="22"/>
          <w:szCs w:val="22"/>
          <w:lang w:val="sr-Cyrl-RS"/>
        </w:rPr>
        <w:t>:</w:t>
      </w:r>
    </w:p>
    <w:p w14:paraId="328A2FE9" w14:textId="77777777" w:rsidR="003B6551" w:rsidRPr="00992E1D" w:rsidRDefault="003B6551">
      <w:pPr>
        <w:jc w:val="both"/>
        <w:rPr>
          <w:rFonts w:asciiTheme="minorHAnsi" w:hAnsiTheme="minorHAnsi" w:cstheme="minorHAnsi"/>
          <w:noProof/>
          <w:sz w:val="22"/>
          <w:szCs w:val="22"/>
          <w:lang w:val="sr-Cyrl-RS"/>
        </w:rPr>
      </w:pPr>
    </w:p>
    <w:p w14:paraId="7A5CDAA1" w14:textId="77777777" w:rsidR="003B6551" w:rsidRPr="00992E1D" w:rsidRDefault="003B6551">
      <w:pPr>
        <w:jc w:val="both"/>
        <w:rPr>
          <w:rFonts w:asciiTheme="minorHAnsi" w:hAnsiTheme="minorHAnsi" w:cstheme="minorHAnsi"/>
          <w:b/>
          <w:noProof/>
          <w:sz w:val="22"/>
          <w:szCs w:val="22"/>
          <w:lang w:val="sr-Cyrl-RS"/>
        </w:rPr>
      </w:pPr>
    </w:p>
    <w:p w14:paraId="462B4AEB" w14:textId="77777777" w:rsidR="0026317C" w:rsidRPr="00F0571F" w:rsidRDefault="0026317C" w:rsidP="0026317C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F0571F">
        <w:rPr>
          <w:rFonts w:asciiTheme="minorHAnsi" w:hAnsiTheme="minorHAnsi" w:cstheme="minorHAnsi"/>
          <w:b/>
          <w:sz w:val="28"/>
          <w:szCs w:val="28"/>
          <w:lang w:val="sr-Cyrl-RS"/>
        </w:rPr>
        <w:t>Трговинско предузеће за промет огревног и грађевинског материјала на мало и велико ОГРЕВИНВЕСТ са п.о. Ниш у стечају</w:t>
      </w:r>
    </w:p>
    <w:p w14:paraId="3CE1A8A4" w14:textId="77777777" w:rsidR="003B6551" w:rsidRPr="00D84493" w:rsidRDefault="0026317C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  <w:lang w:val="sr-Cyrl-RS"/>
        </w:rPr>
      </w:pPr>
      <w:r w:rsidRPr="00D84493">
        <w:rPr>
          <w:rFonts w:asciiTheme="minorHAnsi" w:hAnsiTheme="minorHAnsi" w:cstheme="minorHAnsi"/>
          <w:b/>
          <w:bCs/>
          <w:noProof/>
          <w:sz w:val="28"/>
          <w:szCs w:val="28"/>
          <w:lang w:val="sr-Cyrl-RS"/>
        </w:rPr>
        <w:t>ОГЛАШАВА</w:t>
      </w:r>
    </w:p>
    <w:p w14:paraId="380F798A" w14:textId="77777777" w:rsidR="003B6551" w:rsidRPr="00992E1D" w:rsidRDefault="0026317C">
      <w:pPr>
        <w:jc w:val="center"/>
        <w:rPr>
          <w:rFonts w:asciiTheme="minorHAnsi" w:hAnsiTheme="minorHAnsi" w:cstheme="minorHAnsi"/>
          <w:bCs/>
          <w:noProof/>
          <w:sz w:val="22"/>
          <w:szCs w:val="22"/>
          <w:lang w:val="sr-Cyrl-RS"/>
        </w:rPr>
      </w:pPr>
      <w:r w:rsidRPr="00992E1D">
        <w:rPr>
          <w:rFonts w:asciiTheme="minorHAnsi" w:hAnsiTheme="minorHAnsi" w:cstheme="minorHAnsi"/>
          <w:bCs/>
          <w:noProof/>
          <w:sz w:val="22"/>
          <w:szCs w:val="22"/>
          <w:lang w:val="sr-Cyrl-RS"/>
        </w:rPr>
        <w:t xml:space="preserve">продају имовине методом  јавног надметања  </w:t>
      </w:r>
    </w:p>
    <w:p w14:paraId="269D7CE0" w14:textId="77777777" w:rsidR="003B6551" w:rsidRDefault="003B6551">
      <w:pPr>
        <w:jc w:val="center"/>
        <w:rPr>
          <w:b/>
          <w:bCs/>
          <w:i/>
          <w:noProof/>
          <w:sz w:val="22"/>
          <w:szCs w:val="22"/>
          <w:lang w:val="sr-Cyrl-RS"/>
        </w:rPr>
      </w:pPr>
      <w:bookmarkStart w:id="1" w:name="_Hlk51138656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1985"/>
        <w:gridCol w:w="1695"/>
      </w:tblGrid>
      <w:tr w:rsidR="003B6551" w:rsidRPr="00281519" w14:paraId="6AC8CF31" w14:textId="77777777">
        <w:trPr>
          <w:jc w:val="center"/>
        </w:trPr>
        <w:tc>
          <w:tcPr>
            <w:tcW w:w="3031" w:type="pct"/>
            <w:shd w:val="clear" w:color="auto" w:fill="F2F2F2" w:themeFill="background1" w:themeFillShade="F2"/>
            <w:vAlign w:val="center"/>
          </w:tcPr>
          <w:p w14:paraId="02CC59D9" w14:textId="4063ABA7" w:rsidR="003B6551" w:rsidRPr="00281519" w:rsidRDefault="0026317C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281519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 xml:space="preserve">Предмет продаје </w:t>
            </w:r>
            <w:r w:rsidRPr="00281519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  <w:t xml:space="preserve">je </w:t>
            </w:r>
            <w:r w:rsidRPr="00281519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једна имовинска целина имовине стечајног дужника коју чини:</w:t>
            </w:r>
          </w:p>
        </w:tc>
        <w:tc>
          <w:tcPr>
            <w:tcW w:w="1062" w:type="pct"/>
            <w:shd w:val="clear" w:color="auto" w:fill="F2F2F2" w:themeFill="background1" w:themeFillShade="F2"/>
            <w:vAlign w:val="center"/>
          </w:tcPr>
          <w:p w14:paraId="749F7D58" w14:textId="77777777" w:rsidR="003B6551" w:rsidRPr="00281519" w:rsidRDefault="0026317C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281519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Почетна цена (дин.)</w:t>
            </w:r>
          </w:p>
        </w:tc>
        <w:tc>
          <w:tcPr>
            <w:tcW w:w="907" w:type="pct"/>
            <w:shd w:val="clear" w:color="auto" w:fill="F2F2F2" w:themeFill="background1" w:themeFillShade="F2"/>
            <w:vAlign w:val="center"/>
          </w:tcPr>
          <w:p w14:paraId="25989CEC" w14:textId="77777777" w:rsidR="003B6551" w:rsidRPr="00281519" w:rsidRDefault="0026317C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281519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Депозит (дин.)</w:t>
            </w:r>
          </w:p>
        </w:tc>
      </w:tr>
      <w:tr w:rsidR="004F16BD" w:rsidRPr="004F16BD" w14:paraId="1AEB941B" w14:textId="77777777">
        <w:trPr>
          <w:jc w:val="center"/>
        </w:trPr>
        <w:tc>
          <w:tcPr>
            <w:tcW w:w="3031" w:type="pct"/>
            <w:vAlign w:val="center"/>
          </w:tcPr>
          <w:p w14:paraId="2D6A0339" w14:textId="3D135C20" w:rsidR="0026317C" w:rsidRPr="00281519" w:rsidRDefault="0026317C" w:rsidP="0026317C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  <w:bookmarkStart w:id="2" w:name="_Hlk31797592"/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Управна зграда 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уписана у катастру непокретности као објекат других делатности 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бр. 1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, на кат. 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парцели бр. 2965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, 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Пр+2 Сп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, уписана у листу непокретности бр. 6348 КО Ниш Бубањ, 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нето површине 1285 м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sr-Cyrl-RS"/>
              </w:rPr>
              <w:t>2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, у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 ул. Сретена Стефановића бр. 1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, (а која се састоји од уписаних посебних делова и то: 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бр. 1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 у приземљу и улазу 1, површине 366 м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sr-Cyrl-RS"/>
              </w:rPr>
              <w:t>2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, описан као пословни простор за који није утврђена делатност; 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бр. 2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 на првом спрату и улазу 1, површине 455 м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sr-Cyrl-RS"/>
              </w:rPr>
              <w:t>2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, описан као пословни простор за који није утврђена делатности и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 бр. 3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 на другом спрату и улазу 1, грађевинске 464 м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sr-Cyrl-RS"/>
              </w:rPr>
              <w:t>2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, описан као пословни простор за који није утврђена делатности), </w:t>
            </w:r>
            <w:r w:rsidR="002543FE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уписана као својина стечајног дужника,</w:t>
            </w:r>
          </w:p>
          <w:p w14:paraId="570A5CAD" w14:textId="34F80C18" w:rsidR="0026317C" w:rsidRPr="00281519" w:rsidRDefault="0026317C" w:rsidP="0026317C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Гаража 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уписана у катастру непокретности као помоћна зграда 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бр. 2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, на кат. парцели бр. 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2965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, приземна, уписана у листу непокретности бр. 6348 КО Ниш Бубањ, </w:t>
            </w:r>
            <w:r w:rsidR="00956D88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бруто 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површине 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98 м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sr-Cyrl-RS"/>
              </w:rPr>
              <w:t>2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, 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у ул. Сретена Стефановића,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 </w:t>
            </w:r>
            <w:r w:rsidR="002543FE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уписана као својина стечајног дужника,</w:t>
            </w:r>
          </w:p>
          <w:p w14:paraId="439230D0" w14:textId="3F7B3F18" w:rsidR="0026317C" w:rsidRPr="00281519" w:rsidRDefault="0026317C" w:rsidP="0026317C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Архива 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уписана у катастру непокретности као помоћна зграда 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бр. 3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, на кат. парцели бр. 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2965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, приземна, уписана у листу непокретности бр. 6348 КО Ниш Бубањ, </w:t>
            </w:r>
            <w:r w:rsidR="00956D88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бруто 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површине 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52 м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sr-Cyrl-RS"/>
              </w:rPr>
              <w:t>2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, у</w:t>
            </w:r>
            <w:r w:rsidRPr="0028151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 ул. Сретена Стефановића,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 </w:t>
            </w:r>
            <w:r w:rsidR="002543FE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уписана као својина стечајног дужника, </w:t>
            </w:r>
            <w:r w:rsidRPr="0028151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урушена и оштећена у пожару,</w:t>
            </w:r>
          </w:p>
          <w:p w14:paraId="5A677ED7" w14:textId="77777777" w:rsidR="0026317C" w:rsidRPr="00281519" w:rsidRDefault="0026317C" w:rsidP="0026317C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81519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Покретна имовина коју чини канцеларијски инвентар и опрема</w:t>
            </w:r>
            <w:r w:rsidRPr="00281519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sr-Cyrl-RS"/>
              </w:rPr>
              <w:t>,</w:t>
            </w:r>
            <w:r w:rsidRPr="00281519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281519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према спецификацији у продајној документацији.</w:t>
            </w:r>
          </w:p>
          <w:bookmarkEnd w:id="2"/>
          <w:p w14:paraId="45E86057" w14:textId="77777777" w:rsidR="003B6551" w:rsidRPr="00281519" w:rsidRDefault="003B6551">
            <w:pPr>
              <w:jc w:val="both"/>
              <w:rPr>
                <w:rFonts w:asciiTheme="minorHAnsi" w:hAnsiTheme="minorHAnsi" w:cstheme="minorHAnsi"/>
                <w:b/>
                <w:noProof/>
                <w:color w:val="FF0000"/>
                <w:sz w:val="22"/>
                <w:szCs w:val="22"/>
                <w:lang w:val="sr-Cyrl-RS"/>
              </w:rPr>
            </w:pPr>
          </w:p>
        </w:tc>
        <w:tc>
          <w:tcPr>
            <w:tcW w:w="1062" w:type="pct"/>
            <w:vAlign w:val="center"/>
          </w:tcPr>
          <w:p w14:paraId="7EC4C5B0" w14:textId="2A86B69F" w:rsidR="003B6551" w:rsidRPr="004F16BD" w:rsidRDefault="0026317C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4F16B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E19CE" w:rsidRPr="004F16B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4F16BD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.</w:t>
            </w:r>
            <w:r w:rsidR="002E19CE" w:rsidRPr="004F16BD">
              <w:rPr>
                <w:rFonts w:asciiTheme="minorHAnsi" w:hAnsiTheme="minorHAnsi" w:cstheme="minorHAnsi"/>
                <w:b/>
                <w:sz w:val="22"/>
                <w:szCs w:val="22"/>
              </w:rPr>
              <w:t>386.640,00</w:t>
            </w:r>
          </w:p>
        </w:tc>
        <w:tc>
          <w:tcPr>
            <w:tcW w:w="907" w:type="pct"/>
            <w:vAlign w:val="center"/>
          </w:tcPr>
          <w:p w14:paraId="5DE0FA34" w14:textId="68485B90" w:rsidR="003B6551" w:rsidRPr="004F16BD" w:rsidRDefault="002E19CE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4F16BD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  <w:t>9.354.656,00</w:t>
            </w:r>
          </w:p>
        </w:tc>
      </w:tr>
    </w:tbl>
    <w:p w14:paraId="3F1C5A1F" w14:textId="77777777" w:rsidR="00D84493" w:rsidRDefault="00D84493" w:rsidP="00D84493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14:paraId="1A2CD532" w14:textId="496B9412" w:rsidR="00A6690C" w:rsidRPr="00906440" w:rsidRDefault="00A6690C" w:rsidP="00D84493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906440">
        <w:rPr>
          <w:rFonts w:ascii="Calibri" w:hAnsi="Calibri" w:cs="Calibri"/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906440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906440">
        <w:rPr>
          <w:rFonts w:ascii="Calibri" w:hAnsi="Calibri" w:cs="Calibri"/>
          <w:sz w:val="22"/>
          <w:szCs w:val="22"/>
          <w:lang w:val="sr-Cyrl-CS"/>
        </w:rPr>
        <w:t>која:</w:t>
      </w:r>
    </w:p>
    <w:p w14:paraId="44FBA06D" w14:textId="27696284" w:rsidR="00A6690C" w:rsidRPr="002543FE" w:rsidRDefault="00A6690C" w:rsidP="00D84493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2543FE">
        <w:rPr>
          <w:rFonts w:ascii="Calibri" w:hAnsi="Calibri" w:cs="Calibri"/>
          <w:sz w:val="22"/>
          <w:szCs w:val="22"/>
          <w:lang w:val="sr-Cyrl-CS"/>
        </w:rPr>
        <w:t xml:space="preserve">Након добијања профактуре, </w:t>
      </w:r>
      <w:r w:rsidRPr="002543FE">
        <w:rPr>
          <w:rFonts w:ascii="Calibri" w:hAnsi="Calibri" w:cs="Calibri"/>
          <w:b/>
          <w:bCs/>
          <w:sz w:val="22"/>
          <w:szCs w:val="22"/>
          <w:lang w:val="sr-Cyrl-CS"/>
        </w:rPr>
        <w:t>изврше уплату ради откупа продајне документације</w:t>
      </w:r>
      <w:r w:rsidRPr="002543FE">
        <w:rPr>
          <w:rFonts w:ascii="Calibri" w:hAnsi="Calibri" w:cs="Calibri"/>
          <w:sz w:val="22"/>
          <w:szCs w:val="22"/>
          <w:lang w:val="sr-Cyrl-CS"/>
        </w:rPr>
        <w:t xml:space="preserve"> у износу од </w:t>
      </w:r>
      <w:r w:rsidRPr="002543FE">
        <w:rPr>
          <w:rFonts w:ascii="Calibri" w:hAnsi="Calibri" w:cs="Calibri"/>
          <w:b/>
          <w:sz w:val="22"/>
          <w:szCs w:val="22"/>
          <w:lang w:val="sr-Cyrl-CS"/>
        </w:rPr>
        <w:t>150.000,00 динара</w:t>
      </w:r>
      <w:r w:rsidRPr="002543FE">
        <w:rPr>
          <w:rFonts w:ascii="Calibri" w:hAnsi="Calibri" w:cs="Calibri"/>
          <w:sz w:val="22"/>
          <w:szCs w:val="22"/>
          <w:lang w:val="sr-Cyrl-CS"/>
        </w:rPr>
        <w:t xml:space="preserve">. Профактура се може преузети сваког радног дана закључно са </w:t>
      </w:r>
      <w:r w:rsidR="009A6D6A">
        <w:rPr>
          <w:rFonts w:ascii="Calibri" w:hAnsi="Calibri" w:cs="Calibri"/>
          <w:bCs/>
          <w:sz w:val="22"/>
          <w:szCs w:val="22"/>
        </w:rPr>
        <w:t>1</w:t>
      </w:r>
      <w:r w:rsidR="00966F36">
        <w:rPr>
          <w:rFonts w:ascii="Calibri" w:hAnsi="Calibri" w:cs="Calibri"/>
          <w:bCs/>
          <w:sz w:val="22"/>
          <w:szCs w:val="22"/>
        </w:rPr>
        <w:t>8</w:t>
      </w:r>
      <w:r w:rsidR="009A6D6A">
        <w:rPr>
          <w:rFonts w:ascii="Calibri" w:hAnsi="Calibri" w:cs="Calibri"/>
          <w:bCs/>
          <w:sz w:val="22"/>
          <w:szCs w:val="22"/>
        </w:rPr>
        <w:t>.06</w:t>
      </w:r>
      <w:r w:rsidRPr="002543FE">
        <w:rPr>
          <w:rFonts w:ascii="Calibri" w:hAnsi="Calibri" w:cs="Calibri"/>
          <w:bCs/>
          <w:sz w:val="22"/>
          <w:szCs w:val="22"/>
          <w:lang w:val="sr-Cyrl-CS"/>
        </w:rPr>
        <w:t>.2020. године</w:t>
      </w:r>
      <w:r w:rsidRPr="002543F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2543FE">
        <w:rPr>
          <w:rFonts w:ascii="Calibri" w:hAnsi="Calibri" w:cs="Calibri"/>
          <w:sz w:val="22"/>
          <w:szCs w:val="22"/>
          <w:lang w:val="sr-Cyrl-CS"/>
        </w:rPr>
        <w:t xml:space="preserve">у периоду од </w:t>
      </w:r>
      <w:r w:rsidR="00E93A87">
        <w:rPr>
          <w:rFonts w:ascii="Calibri" w:hAnsi="Calibri" w:cs="Calibri"/>
          <w:sz w:val="22"/>
          <w:szCs w:val="22"/>
          <w:lang w:val="sr-Latn-RS"/>
        </w:rPr>
        <w:t>08</w:t>
      </w:r>
      <w:r w:rsidRPr="002543FE">
        <w:rPr>
          <w:rFonts w:ascii="Calibri" w:hAnsi="Calibri" w:cs="Calibri"/>
          <w:sz w:val="22"/>
          <w:szCs w:val="22"/>
          <w:lang w:val="sr-Latn-CS"/>
        </w:rPr>
        <w:t>:00</w:t>
      </w:r>
      <w:r w:rsidRPr="002543FE">
        <w:rPr>
          <w:rFonts w:ascii="Calibri" w:hAnsi="Calibri" w:cs="Calibri"/>
          <w:sz w:val="22"/>
          <w:szCs w:val="22"/>
          <w:lang w:val="sr-Cyrl-CS"/>
        </w:rPr>
        <w:t xml:space="preserve"> до </w:t>
      </w:r>
      <w:r w:rsidRPr="002543FE">
        <w:rPr>
          <w:rFonts w:ascii="Calibri" w:hAnsi="Calibri" w:cs="Calibri"/>
          <w:sz w:val="22"/>
          <w:szCs w:val="22"/>
          <w:lang w:val="sr-Latn-CS"/>
        </w:rPr>
        <w:t>1</w:t>
      </w:r>
      <w:r w:rsidR="00E93A87">
        <w:rPr>
          <w:rFonts w:ascii="Calibri" w:hAnsi="Calibri" w:cs="Calibri"/>
          <w:sz w:val="22"/>
          <w:szCs w:val="22"/>
          <w:lang w:val="sr-Latn-CS"/>
        </w:rPr>
        <w:t>4</w:t>
      </w:r>
      <w:r w:rsidRPr="002543FE">
        <w:rPr>
          <w:rFonts w:ascii="Calibri" w:hAnsi="Calibri" w:cs="Calibri"/>
          <w:sz w:val="22"/>
          <w:szCs w:val="22"/>
          <w:lang w:val="sr-Latn-CS"/>
        </w:rPr>
        <w:t>:00</w:t>
      </w:r>
      <w:r w:rsidRPr="002543FE">
        <w:rPr>
          <w:rFonts w:ascii="Calibri" w:hAnsi="Calibri" w:cs="Calibri"/>
          <w:sz w:val="22"/>
          <w:szCs w:val="22"/>
          <w:lang w:val="sr-Cyrl-CS"/>
        </w:rPr>
        <w:t xml:space="preserve"> часова</w:t>
      </w:r>
      <w:r w:rsidR="007D3CF4">
        <w:rPr>
          <w:rFonts w:ascii="Calibri" w:hAnsi="Calibri" w:cs="Calibri"/>
          <w:sz w:val="22"/>
          <w:szCs w:val="22"/>
          <w:lang w:val="sr-Latn-RS"/>
        </w:rPr>
        <w:t>,</w:t>
      </w:r>
      <w:r w:rsidRPr="002543FE">
        <w:rPr>
          <w:rFonts w:ascii="Calibri" w:hAnsi="Calibri" w:cs="Calibri"/>
          <w:sz w:val="22"/>
          <w:szCs w:val="22"/>
          <w:lang w:val="sr-Cyrl-CS"/>
        </w:rPr>
        <w:t xml:space="preserve"> на адреси повереника стечајног управника у Нишу, ул. Похорска бр. 23, уз претходну најаву на телефон повереника стечајног управника. Рок за откуп продајне документације </w:t>
      </w:r>
      <w:r w:rsidRPr="002543FE">
        <w:rPr>
          <w:rFonts w:ascii="Calibri" w:hAnsi="Calibri" w:cs="Calibri"/>
          <w:b/>
          <w:bCs/>
          <w:sz w:val="22"/>
          <w:szCs w:val="22"/>
          <w:lang w:val="sr-Cyrl-CS"/>
        </w:rPr>
        <w:t xml:space="preserve">истиче закључно са </w:t>
      </w:r>
      <w:r w:rsidR="009A6D6A">
        <w:rPr>
          <w:rFonts w:ascii="Calibri" w:hAnsi="Calibri" w:cs="Calibri"/>
          <w:b/>
          <w:bCs/>
          <w:sz w:val="22"/>
          <w:szCs w:val="22"/>
        </w:rPr>
        <w:t>1</w:t>
      </w:r>
      <w:r w:rsidR="00966F36">
        <w:rPr>
          <w:rFonts w:ascii="Calibri" w:hAnsi="Calibri" w:cs="Calibri"/>
          <w:b/>
          <w:bCs/>
          <w:sz w:val="22"/>
          <w:szCs w:val="22"/>
        </w:rPr>
        <w:t>8</w:t>
      </w:r>
      <w:r w:rsidR="009A6D6A">
        <w:rPr>
          <w:rFonts w:ascii="Calibri" w:hAnsi="Calibri" w:cs="Calibri"/>
          <w:b/>
          <w:bCs/>
          <w:sz w:val="22"/>
          <w:szCs w:val="22"/>
        </w:rPr>
        <w:t>.06</w:t>
      </w:r>
      <w:r w:rsidRPr="002543FE">
        <w:rPr>
          <w:rFonts w:ascii="Calibri" w:hAnsi="Calibri" w:cs="Calibri"/>
          <w:b/>
          <w:bCs/>
          <w:sz w:val="22"/>
          <w:szCs w:val="22"/>
          <w:lang w:val="sr-Cyrl-CS"/>
        </w:rPr>
        <w:t>.2020</w:t>
      </w:r>
      <w:r w:rsidRPr="002543FE">
        <w:rPr>
          <w:rFonts w:ascii="Calibri" w:hAnsi="Calibri" w:cs="Calibri"/>
          <w:sz w:val="22"/>
          <w:szCs w:val="22"/>
          <w:lang w:val="sr-Cyrl-CS"/>
        </w:rPr>
        <w:t xml:space="preserve">. </w:t>
      </w:r>
      <w:r w:rsidRPr="002543FE">
        <w:rPr>
          <w:rFonts w:ascii="Calibri" w:hAnsi="Calibri" w:cs="Calibri"/>
          <w:b/>
          <w:sz w:val="22"/>
          <w:szCs w:val="22"/>
          <w:lang w:val="sr-Cyrl-CS"/>
        </w:rPr>
        <w:t>године</w:t>
      </w:r>
      <w:r w:rsidRPr="002543FE">
        <w:rPr>
          <w:rFonts w:ascii="Calibri" w:hAnsi="Calibri" w:cs="Calibri"/>
          <w:b/>
          <w:sz w:val="22"/>
          <w:szCs w:val="22"/>
          <w:lang w:val="sr-Cyrl-RS"/>
        </w:rPr>
        <w:t>;</w:t>
      </w:r>
    </w:p>
    <w:p w14:paraId="04465775" w14:textId="292CF0C3" w:rsidR="00A6690C" w:rsidRPr="00906440" w:rsidRDefault="00A6690C" w:rsidP="00A6690C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sr-Latn-CS"/>
        </w:rPr>
      </w:pPr>
      <w:r w:rsidRPr="00906440">
        <w:rPr>
          <w:rFonts w:ascii="Calibri" w:hAnsi="Calibri" w:cs="Calibri"/>
          <w:sz w:val="22"/>
          <w:szCs w:val="22"/>
          <w:lang w:val="sr-Cyrl-CS"/>
        </w:rPr>
        <w:t xml:space="preserve">Уплате 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>депозит</w:t>
      </w:r>
      <w:r w:rsidRPr="00906440">
        <w:rPr>
          <w:rFonts w:ascii="Calibri" w:hAnsi="Calibri" w:cs="Calibri"/>
          <w:sz w:val="22"/>
          <w:szCs w:val="22"/>
          <w:lang w:val="sr-Cyrl-CS"/>
        </w:rPr>
        <w:t xml:space="preserve"> на текући рачун стечајног дужника број </w:t>
      </w:r>
      <w:r w:rsidRPr="00A6690C">
        <w:rPr>
          <w:rStyle w:val="Strong"/>
          <w:rFonts w:asciiTheme="minorHAnsi" w:hAnsiTheme="minorHAnsi" w:cstheme="minorHAnsi"/>
          <w:b w:val="0"/>
          <w:noProof/>
          <w:sz w:val="22"/>
          <w:szCs w:val="22"/>
          <w:lang w:val="sr-Cyrl-RS"/>
        </w:rPr>
        <w:t>105-2283127-12</w:t>
      </w:r>
      <w:r>
        <w:rPr>
          <w:rStyle w:val="Strong"/>
          <w:rFonts w:asciiTheme="minorHAnsi" w:hAnsiTheme="minorHAnsi" w:cstheme="minorHAnsi"/>
          <w:b w:val="0"/>
          <w:noProof/>
          <w:sz w:val="22"/>
          <w:szCs w:val="22"/>
          <w:lang w:val="sr-Cyrl-RS"/>
        </w:rPr>
        <w:t xml:space="preserve"> отворен</w:t>
      </w:r>
      <w:r w:rsidRPr="00A6690C">
        <w:rPr>
          <w:rStyle w:val="Strong"/>
          <w:rFonts w:asciiTheme="minorHAnsi" w:hAnsiTheme="minorHAnsi" w:cstheme="minorHAnsi"/>
          <w:b w:val="0"/>
          <w:noProof/>
          <w:sz w:val="22"/>
          <w:szCs w:val="22"/>
          <w:lang w:val="sr-Cyrl-RS"/>
        </w:rPr>
        <w:t xml:space="preserve"> код AИК банке а.д</w:t>
      </w:r>
      <w:r>
        <w:rPr>
          <w:rFonts w:asciiTheme="minorHAnsi" w:hAnsiTheme="minorHAnsi" w:cstheme="minorHAnsi"/>
          <w:noProof/>
          <w:sz w:val="22"/>
          <w:szCs w:val="22"/>
          <w:lang w:val="sr-Cyrl-RS"/>
        </w:rPr>
        <w:t>. Београд</w:t>
      </w:r>
      <w:r w:rsidRPr="00A6690C">
        <w:rPr>
          <w:rFonts w:asciiTheme="minorHAnsi" w:hAnsiTheme="minorHAnsi" w:cstheme="minorHAnsi"/>
          <w:sz w:val="22"/>
          <w:szCs w:val="22"/>
          <w:lang w:val="sr-Cyrl-CS"/>
        </w:rPr>
        <w:t xml:space="preserve"> или положе неопозиву првокласну банкарску гаранцију наплативу</w:t>
      </w:r>
      <w:r w:rsidRPr="00906440">
        <w:rPr>
          <w:rFonts w:ascii="Calibri" w:hAnsi="Calibri" w:cs="Calibri"/>
          <w:sz w:val="22"/>
          <w:szCs w:val="22"/>
          <w:lang w:val="sr-Cyrl-CS"/>
        </w:rPr>
        <w:t xml:space="preserve"> на први позив, најкасније</w:t>
      </w:r>
      <w:r w:rsidRPr="0090644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906440">
        <w:rPr>
          <w:rFonts w:ascii="Calibri" w:hAnsi="Calibri" w:cs="Calibri"/>
          <w:b/>
          <w:color w:val="000000"/>
          <w:sz w:val="22"/>
          <w:szCs w:val="22"/>
          <w:lang w:val="sr-Cyrl-CS"/>
        </w:rPr>
        <w:t>5</w:t>
      </w:r>
      <w:r w:rsidRPr="00281519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>радних дана</w:t>
      </w:r>
      <w:r w:rsidRPr="00906440">
        <w:rPr>
          <w:rFonts w:ascii="Calibri" w:hAnsi="Calibri" w:cs="Calibri"/>
          <w:sz w:val="22"/>
          <w:szCs w:val="22"/>
          <w:lang w:val="sr-Cyrl-CS"/>
        </w:rPr>
        <w:t xml:space="preserve"> пре одржавања продаје (рок за уплату депозита истиче закључно са </w:t>
      </w:r>
      <w:r w:rsidR="009A6D6A">
        <w:rPr>
          <w:rFonts w:ascii="Calibri" w:hAnsi="Calibri" w:cs="Calibri"/>
          <w:b/>
          <w:sz w:val="22"/>
          <w:szCs w:val="22"/>
        </w:rPr>
        <w:lastRenderedPageBreak/>
        <w:t>1</w:t>
      </w:r>
      <w:r w:rsidR="00966F36">
        <w:rPr>
          <w:rFonts w:ascii="Calibri" w:hAnsi="Calibri" w:cs="Calibri"/>
          <w:b/>
          <w:sz w:val="22"/>
          <w:szCs w:val="22"/>
        </w:rPr>
        <w:t>8</w:t>
      </w:r>
      <w:r w:rsidR="009A6D6A">
        <w:rPr>
          <w:rFonts w:ascii="Calibri" w:hAnsi="Calibri" w:cs="Calibri"/>
          <w:b/>
          <w:sz w:val="22"/>
          <w:szCs w:val="22"/>
        </w:rPr>
        <w:t>.06</w:t>
      </w:r>
      <w:r w:rsidRPr="00906440">
        <w:rPr>
          <w:rFonts w:ascii="Calibri" w:hAnsi="Calibri" w:cs="Calibri"/>
          <w:b/>
          <w:sz w:val="22"/>
          <w:szCs w:val="22"/>
          <w:lang w:val="sr-Latn-RS"/>
        </w:rPr>
        <w:t xml:space="preserve">.2020. 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>године</w:t>
      </w:r>
      <w:r w:rsidRPr="00906440">
        <w:rPr>
          <w:rFonts w:ascii="Calibri" w:hAnsi="Calibri" w:cs="Calibri"/>
          <w:sz w:val="22"/>
          <w:szCs w:val="22"/>
          <w:lang w:val="sr-Cyrl-CS"/>
        </w:rPr>
        <w:t>). У случају да се као депозит положи првокласна банкарска гаранција, ор</w:t>
      </w:r>
      <w:r w:rsidRPr="00906440">
        <w:rPr>
          <w:rFonts w:ascii="Calibri" w:hAnsi="Calibri" w:cs="Calibri"/>
          <w:sz w:val="22"/>
          <w:szCs w:val="22"/>
          <w:lang w:val="sr-Latn-CS"/>
        </w:rPr>
        <w:t>и</w:t>
      </w:r>
      <w:r w:rsidRPr="00906440">
        <w:rPr>
          <w:rFonts w:ascii="Calibri" w:hAnsi="Calibri" w:cs="Calibri"/>
          <w:sz w:val="22"/>
          <w:szCs w:val="22"/>
          <w:lang w:val="sr-Cyrl-CS"/>
        </w:rPr>
        <w:t>гинал исте се ради провере мора доставити искључиво лично Служби финансија Агенције за лиценцирање стечајних управника, Београд, Теразије 23, 6. спрат, најкасније до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="009A6D6A">
        <w:rPr>
          <w:rFonts w:ascii="Calibri" w:hAnsi="Calibri" w:cs="Calibri"/>
          <w:b/>
          <w:sz w:val="22"/>
          <w:szCs w:val="22"/>
        </w:rPr>
        <w:t>1</w:t>
      </w:r>
      <w:r w:rsidR="00966F36">
        <w:rPr>
          <w:rFonts w:ascii="Calibri" w:hAnsi="Calibri" w:cs="Calibri"/>
          <w:b/>
          <w:sz w:val="22"/>
          <w:szCs w:val="22"/>
        </w:rPr>
        <w:t>8</w:t>
      </w:r>
      <w:r w:rsidR="009A6D6A">
        <w:rPr>
          <w:rFonts w:ascii="Calibri" w:hAnsi="Calibri" w:cs="Calibri"/>
          <w:b/>
          <w:sz w:val="22"/>
          <w:szCs w:val="22"/>
        </w:rPr>
        <w:t>.06</w:t>
      </w:r>
      <w:r>
        <w:rPr>
          <w:rFonts w:ascii="Calibri" w:hAnsi="Calibri" w:cs="Calibri"/>
          <w:b/>
          <w:sz w:val="22"/>
          <w:szCs w:val="22"/>
          <w:lang w:val="sr-Cyrl-RS"/>
        </w:rPr>
        <w:t>.</w:t>
      </w:r>
      <w:r w:rsidRPr="00906440">
        <w:rPr>
          <w:rFonts w:ascii="Calibri" w:hAnsi="Calibri" w:cs="Calibri"/>
          <w:b/>
          <w:sz w:val="22"/>
          <w:szCs w:val="22"/>
          <w:lang w:val="sr-Latn-RS"/>
        </w:rPr>
        <w:t>2020.</w:t>
      </w:r>
      <w:r w:rsidRPr="00906440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>г</w:t>
      </w:r>
      <w:r w:rsidRPr="00906440">
        <w:rPr>
          <w:rFonts w:ascii="Calibri" w:hAnsi="Calibri" w:cs="Calibri"/>
          <w:b/>
          <w:sz w:val="22"/>
          <w:szCs w:val="22"/>
          <w:lang w:val="sr-Latn-CS"/>
        </w:rPr>
        <w:t>одине</w:t>
      </w:r>
      <w:r w:rsidRPr="00906440">
        <w:rPr>
          <w:rFonts w:ascii="Calibri" w:hAnsi="Calibri" w:cs="Calibri"/>
          <w:sz w:val="22"/>
          <w:szCs w:val="22"/>
          <w:lang w:val="sr-Cyrl-CS"/>
        </w:rPr>
        <w:t xml:space="preserve"> до 15:00 часова по београдском времену (</w:t>
      </w:r>
      <w:r w:rsidRPr="00906440">
        <w:rPr>
          <w:rFonts w:ascii="Calibri" w:hAnsi="Calibri" w:cs="Calibri"/>
          <w:sz w:val="22"/>
          <w:szCs w:val="22"/>
        </w:rPr>
        <w:t>GMT</w:t>
      </w:r>
      <w:r w:rsidRPr="00906440">
        <w:rPr>
          <w:rFonts w:ascii="Calibri" w:hAnsi="Calibri" w:cs="Calibri"/>
          <w:sz w:val="22"/>
          <w:szCs w:val="22"/>
          <w:lang w:val="ru-RU"/>
        </w:rPr>
        <w:t>+</w:t>
      </w:r>
      <w:r w:rsidR="00D84493">
        <w:rPr>
          <w:rFonts w:ascii="Calibri" w:hAnsi="Calibri" w:cs="Calibri"/>
          <w:sz w:val="22"/>
          <w:szCs w:val="22"/>
          <w:lang w:val="ru-RU"/>
        </w:rPr>
        <w:t>1</w:t>
      </w:r>
      <w:r w:rsidRPr="00906440">
        <w:rPr>
          <w:rFonts w:ascii="Calibri" w:hAnsi="Calibri" w:cs="Calibri"/>
          <w:sz w:val="22"/>
          <w:szCs w:val="22"/>
          <w:lang w:val="ru-RU"/>
        </w:rPr>
        <w:t>)</w:t>
      </w:r>
      <w:r w:rsidRPr="00906440">
        <w:rPr>
          <w:rFonts w:ascii="Calibri" w:hAnsi="Calibri" w:cs="Calibri"/>
          <w:sz w:val="22"/>
          <w:szCs w:val="22"/>
          <w:lang w:val="sr-Cyrl-CS"/>
        </w:rPr>
        <w:t xml:space="preserve">. У обзир ће се узети само банкарске гаранције које пристигну на назначену адресу у назначено време. Банкарска гаранција мора имати рок важења до </w:t>
      </w:r>
      <w:r>
        <w:rPr>
          <w:rFonts w:ascii="Calibri" w:hAnsi="Calibri" w:cs="Calibri"/>
          <w:b/>
          <w:sz w:val="22"/>
          <w:szCs w:val="22"/>
          <w:lang w:val="sr-Cyrl-RS"/>
        </w:rPr>
        <w:t>30.0</w:t>
      </w:r>
      <w:r w:rsidR="009A6D6A">
        <w:rPr>
          <w:rFonts w:ascii="Calibri" w:hAnsi="Calibri" w:cs="Calibri"/>
          <w:b/>
          <w:sz w:val="22"/>
          <w:szCs w:val="22"/>
        </w:rPr>
        <w:t>7</w:t>
      </w:r>
      <w:r w:rsidRPr="00906440">
        <w:rPr>
          <w:rFonts w:ascii="Calibri" w:hAnsi="Calibri" w:cs="Calibri"/>
          <w:b/>
          <w:sz w:val="22"/>
          <w:szCs w:val="22"/>
          <w:lang w:val="sr-Latn-RS"/>
        </w:rPr>
        <w:t>.2020.</w:t>
      </w:r>
      <w:r w:rsidRPr="00906440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>године</w:t>
      </w:r>
      <w:r>
        <w:rPr>
          <w:rFonts w:ascii="Calibri" w:hAnsi="Calibri" w:cs="Calibri"/>
          <w:b/>
          <w:sz w:val="22"/>
          <w:szCs w:val="22"/>
          <w:lang w:val="sr-Cyrl-CS"/>
        </w:rPr>
        <w:t>;</w:t>
      </w:r>
      <w:r w:rsidRPr="00906440">
        <w:rPr>
          <w:rFonts w:ascii="Calibri" w:hAnsi="Calibri" w:cs="Calibri"/>
          <w:sz w:val="22"/>
          <w:szCs w:val="22"/>
          <w:lang w:val="sr-Cyrl-RS"/>
        </w:rPr>
        <w:t xml:space="preserve"> и</w:t>
      </w:r>
      <w:r w:rsidRPr="00906440">
        <w:rPr>
          <w:rFonts w:ascii="Calibri" w:hAnsi="Calibri" w:cs="Calibri"/>
          <w:sz w:val="22"/>
          <w:szCs w:val="22"/>
          <w:lang w:val="sr-Latn-CS"/>
        </w:rPr>
        <w:t xml:space="preserve"> </w:t>
      </w:r>
    </w:p>
    <w:p w14:paraId="1995DF86" w14:textId="77777777" w:rsidR="00A6690C" w:rsidRPr="00906440" w:rsidRDefault="00A6690C" w:rsidP="00A6690C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906440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Потпишу Изјаву о губитку права на повраћај депозита. </w:t>
      </w:r>
      <w:r w:rsidRPr="00906440">
        <w:rPr>
          <w:rFonts w:ascii="Calibri" w:hAnsi="Calibri" w:cs="Calibri"/>
          <w:noProof/>
          <w:sz w:val="22"/>
          <w:szCs w:val="22"/>
          <w:lang w:val="sr-Cyrl-RS"/>
        </w:rPr>
        <w:t>Изјава чини саставни део продајне документације;</w:t>
      </w:r>
    </w:p>
    <w:p w14:paraId="25ACDE1D" w14:textId="77777777" w:rsidR="00A6690C" w:rsidRPr="00906440" w:rsidRDefault="00A6690C" w:rsidP="00A6690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3D1CE7B" w14:textId="4491D890" w:rsidR="00A6690C" w:rsidRPr="00906440" w:rsidRDefault="00A6690C" w:rsidP="00A6690C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906440">
        <w:rPr>
          <w:rFonts w:ascii="Calibri" w:hAnsi="Calibri" w:cs="Calibri"/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 w:rsidRPr="00906440">
        <w:rPr>
          <w:rFonts w:ascii="Calibri" w:hAnsi="Calibri" w:cs="Calibri"/>
          <w:sz w:val="22"/>
          <w:szCs w:val="22"/>
          <w:lang w:val="ru-RU"/>
        </w:rPr>
        <w:t xml:space="preserve">сваким радним даном од </w:t>
      </w:r>
      <w:r>
        <w:rPr>
          <w:rFonts w:ascii="Calibri" w:hAnsi="Calibri" w:cs="Calibri"/>
          <w:b/>
          <w:sz w:val="22"/>
          <w:szCs w:val="22"/>
          <w:lang w:val="ru-RU"/>
        </w:rPr>
        <w:t>11</w:t>
      </w:r>
      <w:r w:rsidRPr="00906440">
        <w:rPr>
          <w:rFonts w:ascii="Calibri" w:hAnsi="Calibri" w:cs="Calibri"/>
          <w:b/>
          <w:sz w:val="22"/>
          <w:szCs w:val="22"/>
          <w:lang w:val="ru-RU"/>
        </w:rPr>
        <w:t>:00 до 1</w:t>
      </w:r>
      <w:r>
        <w:rPr>
          <w:rFonts w:ascii="Calibri" w:hAnsi="Calibri" w:cs="Calibri"/>
          <w:b/>
          <w:sz w:val="22"/>
          <w:szCs w:val="22"/>
          <w:lang w:val="ru-RU"/>
        </w:rPr>
        <w:t>3</w:t>
      </w:r>
      <w:r w:rsidRPr="00906440">
        <w:rPr>
          <w:rFonts w:ascii="Calibri" w:hAnsi="Calibri" w:cs="Calibri"/>
          <w:b/>
          <w:sz w:val="22"/>
          <w:szCs w:val="22"/>
          <w:lang w:val="ru-RU"/>
        </w:rPr>
        <w:t>:00 часова</w:t>
      </w:r>
      <w:r w:rsidRPr="00906440">
        <w:rPr>
          <w:rFonts w:ascii="Calibri" w:hAnsi="Calibri" w:cs="Calibri"/>
          <w:sz w:val="22"/>
          <w:szCs w:val="22"/>
          <w:lang w:val="ru-RU"/>
        </w:rPr>
        <w:t xml:space="preserve">, </w:t>
      </w:r>
      <w:r w:rsidRPr="00906440">
        <w:rPr>
          <w:rFonts w:ascii="Calibri" w:hAnsi="Calibri" w:cs="Calibri"/>
          <w:sz w:val="22"/>
          <w:szCs w:val="22"/>
          <w:lang w:val="sr-Cyrl-CS"/>
        </w:rPr>
        <w:t>а најкасније 7</w:t>
      </w:r>
      <w:r w:rsidRPr="0090644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906440">
        <w:rPr>
          <w:rFonts w:ascii="Calibri" w:hAnsi="Calibri" w:cs="Calibri"/>
          <w:sz w:val="22"/>
          <w:szCs w:val="22"/>
          <w:lang w:val="sr-Cyrl-CS"/>
        </w:rPr>
        <w:t xml:space="preserve">дана пре заказане продаје, односно </w:t>
      </w:r>
      <w:r>
        <w:rPr>
          <w:rFonts w:ascii="Calibri" w:hAnsi="Calibri" w:cs="Calibri"/>
          <w:sz w:val="22"/>
          <w:szCs w:val="22"/>
          <w:lang w:val="sr-Cyrl-CS"/>
        </w:rPr>
        <w:t xml:space="preserve">закључно са </w:t>
      </w:r>
      <w:r w:rsidR="009A6D6A">
        <w:rPr>
          <w:rFonts w:ascii="Calibri" w:hAnsi="Calibri" w:cs="Calibri"/>
          <w:b/>
          <w:sz w:val="22"/>
          <w:szCs w:val="22"/>
        </w:rPr>
        <w:t>1</w:t>
      </w:r>
      <w:r w:rsidR="00966F36">
        <w:rPr>
          <w:rFonts w:ascii="Calibri" w:hAnsi="Calibri" w:cs="Calibri"/>
          <w:b/>
          <w:sz w:val="22"/>
          <w:szCs w:val="22"/>
        </w:rPr>
        <w:t>8</w:t>
      </w:r>
      <w:r w:rsidR="009A6D6A">
        <w:rPr>
          <w:rFonts w:ascii="Calibri" w:hAnsi="Calibri" w:cs="Calibri"/>
          <w:b/>
          <w:sz w:val="22"/>
          <w:szCs w:val="22"/>
        </w:rPr>
        <w:t>.06</w:t>
      </w:r>
      <w:r w:rsidRPr="00906440">
        <w:rPr>
          <w:rFonts w:ascii="Calibri" w:hAnsi="Calibri" w:cs="Calibri"/>
          <w:b/>
          <w:sz w:val="22"/>
          <w:szCs w:val="22"/>
          <w:lang w:val="sr-Latn-RS"/>
        </w:rPr>
        <w:t>.2020</w:t>
      </w:r>
      <w:r w:rsidRPr="00906440">
        <w:rPr>
          <w:rFonts w:ascii="Calibri" w:hAnsi="Calibri" w:cs="Calibri"/>
          <w:b/>
          <w:sz w:val="22"/>
          <w:szCs w:val="22"/>
          <w:lang w:val="sr-Latn-CS"/>
        </w:rPr>
        <w:t xml:space="preserve">. 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>г</w:t>
      </w:r>
      <w:r w:rsidRPr="00906440">
        <w:rPr>
          <w:rFonts w:ascii="Calibri" w:hAnsi="Calibri" w:cs="Calibri"/>
          <w:b/>
          <w:sz w:val="22"/>
          <w:szCs w:val="22"/>
          <w:lang w:val="sr-Latn-CS"/>
        </w:rPr>
        <w:t>одине</w:t>
      </w:r>
      <w:r w:rsidRPr="0090644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906440">
        <w:rPr>
          <w:rFonts w:ascii="Calibri" w:hAnsi="Calibri" w:cs="Calibri"/>
          <w:sz w:val="22"/>
          <w:szCs w:val="22"/>
          <w:lang w:val="ru-RU"/>
        </w:rPr>
        <w:t xml:space="preserve">(уз претходну најаву </w:t>
      </w:r>
      <w:r w:rsidRPr="00906440">
        <w:rPr>
          <w:rFonts w:ascii="Calibri" w:hAnsi="Calibri" w:cs="Calibri"/>
          <w:sz w:val="22"/>
          <w:szCs w:val="22"/>
          <w:lang w:val="sr-Cyrl-CS"/>
        </w:rPr>
        <w:t>поверенику стечајног управника).</w:t>
      </w:r>
    </w:p>
    <w:p w14:paraId="52EB3D9E" w14:textId="77777777" w:rsidR="00A6690C" w:rsidRPr="00906440" w:rsidRDefault="00A6690C" w:rsidP="00A6690C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14:paraId="25A7B6D5" w14:textId="3D4DBE91" w:rsidR="00A6690C" w:rsidRPr="00906440" w:rsidRDefault="00A6690C" w:rsidP="00A6690C">
      <w:pPr>
        <w:jc w:val="both"/>
        <w:rPr>
          <w:rFonts w:ascii="Calibri" w:hAnsi="Calibri" w:cs="Calibri"/>
          <w:sz w:val="22"/>
          <w:szCs w:val="22"/>
          <w:lang w:val="sr-Cyrl-BA"/>
        </w:rPr>
      </w:pPr>
      <w:r w:rsidRPr="00906440">
        <w:rPr>
          <w:rFonts w:ascii="Calibri" w:hAnsi="Calibri" w:cs="Calibri"/>
          <w:sz w:val="22"/>
          <w:szCs w:val="22"/>
          <w:lang w:val="sr-Cyrl-CS"/>
        </w:rPr>
        <w:t xml:space="preserve">Након уплате депозита, а најкасније </w:t>
      </w:r>
      <w:r>
        <w:rPr>
          <w:rFonts w:ascii="Calibri" w:hAnsi="Calibri" w:cs="Calibri"/>
          <w:sz w:val="22"/>
          <w:szCs w:val="22"/>
          <w:lang w:val="sr-Cyrl-CS"/>
        </w:rPr>
        <w:t>закључно са</w:t>
      </w:r>
      <w:r w:rsidRPr="00906440">
        <w:rPr>
          <w:rFonts w:ascii="Calibri" w:hAnsi="Calibri" w:cs="Calibri"/>
          <w:sz w:val="22"/>
          <w:szCs w:val="22"/>
          <w:lang w:val="sr-Latn-RS"/>
        </w:rPr>
        <w:t xml:space="preserve"> </w:t>
      </w:r>
      <w:r w:rsidR="009A6D6A">
        <w:rPr>
          <w:rFonts w:ascii="Calibri" w:hAnsi="Calibri" w:cs="Calibri"/>
          <w:b/>
          <w:bCs/>
          <w:sz w:val="22"/>
          <w:szCs w:val="22"/>
        </w:rPr>
        <w:t>1</w:t>
      </w:r>
      <w:r w:rsidR="00966F36">
        <w:rPr>
          <w:rFonts w:ascii="Calibri" w:hAnsi="Calibri" w:cs="Calibri"/>
          <w:b/>
          <w:bCs/>
          <w:sz w:val="22"/>
          <w:szCs w:val="22"/>
        </w:rPr>
        <w:t>8</w:t>
      </w:r>
      <w:r w:rsidR="009A6D6A">
        <w:rPr>
          <w:rFonts w:ascii="Calibri" w:hAnsi="Calibri" w:cs="Calibri"/>
          <w:b/>
          <w:bCs/>
          <w:sz w:val="22"/>
          <w:szCs w:val="22"/>
        </w:rPr>
        <w:t>.06</w:t>
      </w:r>
      <w:r w:rsidRPr="00906440">
        <w:rPr>
          <w:rFonts w:ascii="Calibri" w:hAnsi="Calibri" w:cs="Calibri"/>
          <w:b/>
          <w:bCs/>
          <w:sz w:val="22"/>
          <w:szCs w:val="22"/>
          <w:lang w:val="sr-Latn-RS"/>
        </w:rPr>
        <w:t>.2020.</w:t>
      </w:r>
      <w:r w:rsidRPr="0090644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>г</w:t>
      </w:r>
      <w:r w:rsidRPr="00906440">
        <w:rPr>
          <w:rFonts w:ascii="Calibri" w:hAnsi="Calibri" w:cs="Calibri"/>
          <w:b/>
          <w:sz w:val="22"/>
          <w:szCs w:val="22"/>
          <w:lang w:val="sr-Latn-CS"/>
        </w:rPr>
        <w:t>одине</w:t>
      </w:r>
      <w:r w:rsidRPr="00906440">
        <w:rPr>
          <w:rFonts w:ascii="Calibri" w:hAnsi="Calibri" w:cs="Calibri"/>
          <w:sz w:val="22"/>
          <w:szCs w:val="22"/>
          <w:lang w:val="sr-Cyrl-CS"/>
        </w:rPr>
        <w:t>, потенцијални купци, ради правовремене евиденције, морају предати поверенику Агенције за лиценцирање стечајних управника:</w:t>
      </w:r>
      <w:r w:rsidRPr="00906440">
        <w:rPr>
          <w:rFonts w:ascii="Calibri" w:hAnsi="Calibri" w:cs="Calibri"/>
          <w:sz w:val="22"/>
          <w:szCs w:val="22"/>
          <w:lang w:val="sr-Cyrl-BA"/>
        </w:rPr>
        <w:t xml:space="preserve"> попуњен </w:t>
      </w:r>
      <w:r w:rsidRPr="00906440">
        <w:rPr>
          <w:rFonts w:ascii="Calibri" w:hAnsi="Calibri" w:cs="Calibri"/>
          <w:sz w:val="22"/>
          <w:szCs w:val="22"/>
          <w:lang w:val="sr-Cyrl-CS"/>
        </w:rPr>
        <w:t>образац пријаве за учешће</w:t>
      </w:r>
      <w:r w:rsidRPr="00906440">
        <w:rPr>
          <w:rFonts w:ascii="Calibri" w:hAnsi="Calibri" w:cs="Calibri"/>
          <w:sz w:val="22"/>
          <w:szCs w:val="22"/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906440">
        <w:rPr>
          <w:rFonts w:ascii="Calibri" w:hAnsi="Calibri" w:cs="Calibri"/>
          <w:sz w:val="22"/>
          <w:szCs w:val="22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906440">
        <w:rPr>
          <w:rFonts w:ascii="Calibri" w:hAnsi="Calibri" w:cs="Calibri"/>
          <w:sz w:val="22"/>
          <w:szCs w:val="22"/>
          <w:lang w:val="sr-Cyrl-BA"/>
        </w:rPr>
        <w:t>, овлашћење за заступање</w:t>
      </w:r>
      <w:r w:rsidRPr="0090644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906440">
        <w:rPr>
          <w:rFonts w:ascii="Calibri" w:hAnsi="Calibri" w:cs="Calibri"/>
          <w:sz w:val="22"/>
          <w:szCs w:val="22"/>
          <w:lang w:val="sr-Cyrl-BA"/>
        </w:rPr>
        <w:t>уколико јавном надметању не присуствује потенцијални купац лично (за физичка лица) или законски заступник (за правна лица).</w:t>
      </w:r>
    </w:p>
    <w:p w14:paraId="2E1DDA74" w14:textId="77777777" w:rsidR="00A6690C" w:rsidRPr="00906440" w:rsidRDefault="00A6690C" w:rsidP="00A6690C">
      <w:pPr>
        <w:jc w:val="both"/>
        <w:rPr>
          <w:rFonts w:ascii="Calibri" w:hAnsi="Calibri" w:cs="Calibri"/>
          <w:sz w:val="22"/>
          <w:szCs w:val="22"/>
          <w:lang w:val="ru-RU"/>
        </w:rPr>
      </w:pPr>
    </w:p>
    <w:p w14:paraId="4A525C25" w14:textId="5F85E7D1" w:rsidR="00A6690C" w:rsidRPr="00906440" w:rsidRDefault="00A6690C" w:rsidP="00A6690C">
      <w:pPr>
        <w:jc w:val="both"/>
        <w:rPr>
          <w:rFonts w:ascii="Calibri" w:hAnsi="Calibri" w:cs="Calibri"/>
          <w:b/>
          <w:sz w:val="22"/>
          <w:szCs w:val="22"/>
          <w:lang w:val="ru-RU"/>
        </w:rPr>
      </w:pPr>
      <w:r w:rsidRPr="00906440">
        <w:rPr>
          <w:rFonts w:ascii="Calibri" w:hAnsi="Calibri" w:cs="Calibri"/>
          <w:b/>
          <w:sz w:val="22"/>
          <w:szCs w:val="22"/>
          <w:lang w:val="sr-Cyrl-CS"/>
        </w:rPr>
        <w:t>Јавно надметање</w:t>
      </w:r>
      <w:r w:rsidRPr="00906440">
        <w:rPr>
          <w:rFonts w:ascii="Calibri" w:hAnsi="Calibri" w:cs="Calibri"/>
          <w:sz w:val="22"/>
          <w:szCs w:val="22"/>
          <w:lang w:val="sr-Cyrl-CS"/>
        </w:rPr>
        <w:t xml:space="preserve"> одржаће се дана </w:t>
      </w:r>
      <w:r w:rsidR="009A6D6A">
        <w:rPr>
          <w:rFonts w:ascii="Calibri" w:hAnsi="Calibri" w:cs="Calibri"/>
          <w:b/>
          <w:sz w:val="22"/>
          <w:szCs w:val="22"/>
        </w:rPr>
        <w:t>2</w:t>
      </w:r>
      <w:r w:rsidR="00966F36">
        <w:rPr>
          <w:rFonts w:ascii="Calibri" w:hAnsi="Calibri" w:cs="Calibri"/>
          <w:b/>
          <w:sz w:val="22"/>
          <w:szCs w:val="22"/>
        </w:rPr>
        <w:t>5</w:t>
      </w:r>
      <w:r w:rsidR="009A6D6A">
        <w:rPr>
          <w:rFonts w:ascii="Calibri" w:hAnsi="Calibri" w:cs="Calibri"/>
          <w:b/>
          <w:sz w:val="22"/>
          <w:szCs w:val="22"/>
        </w:rPr>
        <w:t>.06</w:t>
      </w:r>
      <w:r w:rsidRPr="00906440">
        <w:rPr>
          <w:rFonts w:ascii="Calibri" w:hAnsi="Calibri" w:cs="Calibri"/>
          <w:b/>
          <w:sz w:val="22"/>
          <w:szCs w:val="22"/>
          <w:lang w:val="sr-Latn-RS"/>
        </w:rPr>
        <w:t>.2020.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 xml:space="preserve"> године у</w:t>
      </w:r>
      <w:r w:rsidRPr="00906440">
        <w:rPr>
          <w:rFonts w:ascii="Calibri" w:hAnsi="Calibri" w:cs="Calibri"/>
          <w:b/>
          <w:sz w:val="22"/>
          <w:szCs w:val="22"/>
          <w:lang w:val="sr-Latn-RS"/>
        </w:rPr>
        <w:t xml:space="preserve"> 1</w:t>
      </w:r>
      <w:r w:rsidR="009A6D6A">
        <w:rPr>
          <w:rFonts w:ascii="Calibri" w:hAnsi="Calibri" w:cs="Calibri"/>
          <w:b/>
          <w:sz w:val="22"/>
          <w:szCs w:val="22"/>
          <w:lang w:val="sr-Latn-RS"/>
        </w:rPr>
        <w:t>3</w:t>
      </w:r>
      <w:r w:rsidRPr="00906440">
        <w:rPr>
          <w:rFonts w:ascii="Calibri" w:hAnsi="Calibri" w:cs="Calibri"/>
          <w:b/>
          <w:sz w:val="22"/>
          <w:szCs w:val="22"/>
          <w:lang w:val="sr-Latn-RS"/>
        </w:rPr>
        <w:t>:00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 xml:space="preserve"> часова</w:t>
      </w:r>
      <w:r w:rsidRPr="00906440">
        <w:rPr>
          <w:rFonts w:ascii="Calibri" w:hAnsi="Calibri" w:cs="Calibri"/>
          <w:sz w:val="22"/>
          <w:szCs w:val="22"/>
          <w:lang w:val="sr-Cyrl-CS"/>
        </w:rPr>
        <w:t xml:space="preserve"> на следећој адреси: 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 xml:space="preserve">Агенција за лиценцирање стечајних управника, Београд, Теразије бр. 23, </w:t>
      </w:r>
      <w:r w:rsidRPr="00906440">
        <w:rPr>
          <w:rFonts w:ascii="Calibri" w:hAnsi="Calibri" w:cs="Calibri"/>
          <w:b/>
          <w:sz w:val="22"/>
          <w:szCs w:val="22"/>
          <w:lang w:val="sr-Latn-CS"/>
        </w:rPr>
        <w:t xml:space="preserve">III 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>спрат</w:t>
      </w:r>
      <w:r w:rsidRPr="00906440">
        <w:rPr>
          <w:rFonts w:ascii="Calibri" w:hAnsi="Calibri" w:cs="Calibri"/>
          <w:b/>
          <w:color w:val="1F497D"/>
          <w:sz w:val="22"/>
          <w:szCs w:val="22"/>
          <w:lang w:val="sr-Cyrl-CS"/>
        </w:rPr>
        <w:t>.</w:t>
      </w:r>
      <w:r w:rsidRPr="00906440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Pr="00906440">
        <w:rPr>
          <w:rFonts w:ascii="Calibri" w:hAnsi="Calibri" w:cs="Calibri"/>
          <w:sz w:val="22"/>
          <w:szCs w:val="22"/>
          <w:lang w:val="sr-Cyrl-CS"/>
        </w:rPr>
        <w:t xml:space="preserve">Регистрација учесника почиње два сата пре почетка јавног надметања, а завршава се 10 минута пре почетка јавног надметања, односно у периоду од </w:t>
      </w:r>
      <w:r w:rsidR="00281519">
        <w:rPr>
          <w:rFonts w:ascii="Calibri" w:hAnsi="Calibri" w:cs="Calibri"/>
          <w:b/>
          <w:bCs/>
          <w:sz w:val="22"/>
          <w:szCs w:val="22"/>
          <w:lang w:val="sr-Cyrl-CS"/>
        </w:rPr>
        <w:t>11</w:t>
      </w:r>
      <w:r w:rsidRPr="00906440">
        <w:rPr>
          <w:rFonts w:ascii="Calibri" w:hAnsi="Calibri" w:cs="Calibri"/>
          <w:b/>
          <w:bCs/>
          <w:sz w:val="22"/>
          <w:szCs w:val="22"/>
          <w:lang w:val="sr-Cyrl-CS"/>
        </w:rPr>
        <w:t>:00</w:t>
      </w:r>
      <w:r w:rsidRPr="00906440">
        <w:rPr>
          <w:rFonts w:ascii="Calibri" w:hAnsi="Calibri" w:cs="Calibri"/>
          <w:sz w:val="22"/>
          <w:szCs w:val="22"/>
          <w:lang w:val="sr-Cyrl-CS"/>
        </w:rPr>
        <w:t xml:space="preserve"> до 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>1</w:t>
      </w:r>
      <w:r w:rsidR="00281519">
        <w:rPr>
          <w:rFonts w:ascii="Calibri" w:hAnsi="Calibri" w:cs="Calibri"/>
          <w:b/>
          <w:sz w:val="22"/>
          <w:szCs w:val="22"/>
          <w:lang w:val="sr-Cyrl-CS"/>
        </w:rPr>
        <w:t>2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 xml:space="preserve">:50 </w:t>
      </w:r>
      <w:r w:rsidRPr="00906440">
        <w:rPr>
          <w:rFonts w:ascii="Calibri" w:hAnsi="Calibri" w:cs="Calibri"/>
          <w:sz w:val="22"/>
          <w:szCs w:val="22"/>
          <w:lang w:val="sr-Cyrl-CS"/>
        </w:rPr>
        <w:t>часова, на истој адреси</w:t>
      </w:r>
      <w:r w:rsidRPr="00906440">
        <w:rPr>
          <w:rFonts w:ascii="Calibri" w:hAnsi="Calibri" w:cs="Calibri"/>
          <w:b/>
          <w:sz w:val="22"/>
          <w:szCs w:val="22"/>
          <w:lang w:val="sr-Cyrl-CS"/>
        </w:rPr>
        <w:t>.</w:t>
      </w:r>
    </w:p>
    <w:p w14:paraId="54A5E6A2" w14:textId="77777777" w:rsidR="00A6690C" w:rsidRPr="00906440" w:rsidRDefault="00A6690C" w:rsidP="00A6690C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14:paraId="7B8DC3F8" w14:textId="77777777" w:rsidR="00A6690C" w:rsidRPr="00906440" w:rsidRDefault="00A6690C" w:rsidP="00A6690C">
      <w:pPr>
        <w:jc w:val="both"/>
        <w:rPr>
          <w:rFonts w:ascii="Calibri" w:hAnsi="Calibri" w:cs="Arial"/>
          <w:sz w:val="22"/>
          <w:szCs w:val="22"/>
          <w:lang w:val="sr-Cyrl-CS"/>
        </w:rPr>
      </w:pPr>
      <w:r w:rsidRPr="00906440">
        <w:rPr>
          <w:rFonts w:ascii="Calibri" w:hAnsi="Calibri" w:cs="Arial"/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08A3E93F" w14:textId="77777777" w:rsidR="00A6690C" w:rsidRPr="00906440" w:rsidRDefault="00A6690C" w:rsidP="00A6690C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 w:rsidRPr="00906440">
        <w:rPr>
          <w:rFonts w:ascii="Calibri" w:hAnsi="Calibri" w:cs="Arial"/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14:paraId="1337DBF3" w14:textId="77777777" w:rsidR="00A6690C" w:rsidRPr="00906440" w:rsidRDefault="00A6690C" w:rsidP="00A6690C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 w:rsidRPr="00906440">
        <w:rPr>
          <w:rFonts w:ascii="Calibri" w:hAnsi="Calibri" w:cs="Arial"/>
          <w:sz w:val="22"/>
          <w:szCs w:val="22"/>
          <w:lang w:val="sr-Cyrl-CS"/>
        </w:rPr>
        <w:t>отвара јавно надметање читајући правила надметања;</w:t>
      </w:r>
    </w:p>
    <w:p w14:paraId="60FDA662" w14:textId="77777777" w:rsidR="00A6690C" w:rsidRPr="00906440" w:rsidRDefault="00A6690C" w:rsidP="00A6690C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 w:rsidRPr="00906440">
        <w:rPr>
          <w:rFonts w:ascii="Calibri" w:hAnsi="Calibri" w:cs="Arial"/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14:paraId="7DE4E4C6" w14:textId="77777777" w:rsidR="00A6690C" w:rsidRPr="00906440" w:rsidRDefault="00A6690C" w:rsidP="00A6690C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 w:rsidRPr="00906440">
        <w:rPr>
          <w:rFonts w:ascii="Calibri" w:hAnsi="Calibri" w:cs="Arial"/>
          <w:sz w:val="22"/>
          <w:szCs w:val="22"/>
          <w:lang w:val="sr-Cyrl-CS"/>
        </w:rPr>
        <w:t>одржава ред на јавном надметању;</w:t>
      </w:r>
    </w:p>
    <w:p w14:paraId="512984B4" w14:textId="77777777" w:rsidR="00A6690C" w:rsidRPr="00906440" w:rsidRDefault="00A6690C" w:rsidP="00A6690C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 w:rsidRPr="00906440">
        <w:rPr>
          <w:rFonts w:ascii="Calibri" w:hAnsi="Calibri" w:cs="Arial"/>
          <w:sz w:val="22"/>
          <w:szCs w:val="22"/>
          <w:lang w:val="sr-Cyrl-CS"/>
        </w:rPr>
        <w:t xml:space="preserve">проглашава за купца учесника који је прихватио највишу понуђену цену </w:t>
      </w:r>
    </w:p>
    <w:p w14:paraId="40D4C223" w14:textId="77777777" w:rsidR="00A6690C" w:rsidRPr="00906440" w:rsidRDefault="00A6690C" w:rsidP="00A6690C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 w:rsidRPr="00906440">
        <w:rPr>
          <w:rFonts w:ascii="Calibri" w:hAnsi="Calibri" w:cs="Arial"/>
          <w:sz w:val="22"/>
          <w:szCs w:val="22"/>
          <w:lang w:val="sr-Cyrl-CS"/>
        </w:rPr>
        <w:t>потписује записник.</w:t>
      </w:r>
    </w:p>
    <w:p w14:paraId="3D287CE6" w14:textId="77777777" w:rsidR="00A6690C" w:rsidRPr="00906440" w:rsidRDefault="00A6690C" w:rsidP="00A6690C">
      <w:pPr>
        <w:ind w:left="720"/>
        <w:jc w:val="both"/>
        <w:rPr>
          <w:rFonts w:ascii="Calibri" w:hAnsi="Calibri" w:cs="Arial"/>
          <w:sz w:val="22"/>
          <w:szCs w:val="22"/>
          <w:lang w:val="sr-Cyrl-CS"/>
        </w:rPr>
      </w:pPr>
    </w:p>
    <w:p w14:paraId="554C68A2" w14:textId="77777777" w:rsidR="00A6690C" w:rsidRPr="00906440" w:rsidRDefault="00A6690C" w:rsidP="00A6690C">
      <w:pPr>
        <w:jc w:val="both"/>
        <w:rPr>
          <w:rFonts w:ascii="Calibri" w:hAnsi="Calibri" w:cs="Calibri"/>
          <w:noProof/>
          <w:sz w:val="22"/>
          <w:szCs w:val="22"/>
          <w:lang w:val="sr-Cyrl-RS"/>
        </w:rPr>
      </w:pPr>
      <w:r w:rsidRPr="00906440">
        <w:rPr>
          <w:rFonts w:ascii="Calibri" w:hAnsi="Calibri" w:cs="Calibri"/>
          <w:noProof/>
          <w:sz w:val="22"/>
          <w:szCs w:val="22"/>
          <w:lang w:val="sr-Cyrl-R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</w:t>
      </w:r>
      <w:r w:rsidRPr="00906440">
        <w:rPr>
          <w:rFonts w:ascii="Calibri" w:hAnsi="Calibri" w:cs="Calibri"/>
          <w:b/>
          <w:bCs/>
          <w:noProof/>
          <w:sz w:val="22"/>
          <w:szCs w:val="22"/>
          <w:lang w:val="sr-Cyrl-RS"/>
        </w:rPr>
        <w:t>2 радна дана</w:t>
      </w:r>
      <w:r w:rsidRPr="00906440">
        <w:rPr>
          <w:rFonts w:ascii="Calibri" w:hAnsi="Calibri" w:cs="Calibri"/>
          <w:noProof/>
          <w:sz w:val="22"/>
          <w:szCs w:val="22"/>
          <w:lang w:val="sr-Cyrl-RS"/>
        </w:rPr>
        <w:t xml:space="preserve"> од дана јавног надметања, а пре потписивања купопродајног уговора, након чега ће му гаранција бити враћена.</w:t>
      </w:r>
    </w:p>
    <w:p w14:paraId="6F56E9F6" w14:textId="77777777" w:rsidR="00A6690C" w:rsidRPr="00906440" w:rsidRDefault="00A6690C" w:rsidP="00A6690C">
      <w:pPr>
        <w:spacing w:before="120"/>
        <w:jc w:val="both"/>
        <w:rPr>
          <w:rFonts w:ascii="Calibri" w:hAnsi="Calibri" w:cs="Calibri"/>
          <w:noProof/>
          <w:sz w:val="22"/>
          <w:szCs w:val="22"/>
          <w:lang w:val="sr-Cyrl-RS"/>
        </w:rPr>
      </w:pPr>
      <w:r w:rsidRPr="00906440">
        <w:rPr>
          <w:rFonts w:ascii="Calibri" w:hAnsi="Calibri" w:cs="Calibri"/>
          <w:noProof/>
          <w:sz w:val="22"/>
          <w:szCs w:val="22"/>
          <w:lang w:val="sr-Cyrl-RS"/>
        </w:rPr>
        <w:t xml:space="preserve">Закључењу купопродајног уговора у законски прописаној форми, приступа се у року од </w:t>
      </w:r>
      <w:r w:rsidRPr="00906440">
        <w:rPr>
          <w:rFonts w:ascii="Calibri" w:hAnsi="Calibri" w:cs="Calibri"/>
          <w:b/>
          <w:bCs/>
          <w:noProof/>
          <w:sz w:val="22"/>
          <w:szCs w:val="22"/>
          <w:lang w:val="sr-Cyrl-RS"/>
        </w:rPr>
        <w:t>3 радна дана</w:t>
      </w:r>
      <w:r w:rsidRPr="00906440">
        <w:rPr>
          <w:rFonts w:ascii="Calibri" w:hAnsi="Calibri" w:cs="Calibri"/>
          <w:noProof/>
          <w:sz w:val="22"/>
          <w:szCs w:val="22"/>
          <w:lang w:val="sr-Cyrl-R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906440">
        <w:rPr>
          <w:rFonts w:ascii="Calibri" w:hAnsi="Calibri" w:cs="Calibri"/>
          <w:b/>
          <w:bCs/>
          <w:noProof/>
          <w:sz w:val="22"/>
          <w:szCs w:val="22"/>
          <w:lang w:val="sr-Cyrl-RS"/>
        </w:rPr>
        <w:t>8 дана</w:t>
      </w:r>
      <w:r w:rsidRPr="00906440">
        <w:rPr>
          <w:rFonts w:ascii="Calibri" w:hAnsi="Calibri" w:cs="Calibri"/>
          <w:noProof/>
          <w:sz w:val="22"/>
          <w:szCs w:val="22"/>
          <w:lang w:val="sr-Cyrl-RS"/>
        </w:rPr>
        <w:t xml:space="preserve"> од дана закључења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</w:t>
      </w:r>
    </w:p>
    <w:p w14:paraId="745A7DC5" w14:textId="77777777" w:rsidR="00A6690C" w:rsidRPr="00906440" w:rsidRDefault="00A6690C" w:rsidP="00A6690C">
      <w:pPr>
        <w:tabs>
          <w:tab w:val="left" w:pos="10206"/>
        </w:tabs>
        <w:spacing w:before="120"/>
        <w:jc w:val="both"/>
        <w:rPr>
          <w:rFonts w:ascii="Calibri" w:hAnsi="Calibri" w:cs="Calibri"/>
          <w:noProof/>
          <w:sz w:val="22"/>
          <w:szCs w:val="22"/>
          <w:lang w:val="sr-Cyrl-RS"/>
        </w:rPr>
      </w:pPr>
      <w:r w:rsidRPr="00906440">
        <w:rPr>
          <w:rFonts w:ascii="Calibri" w:hAnsi="Calibri" w:cs="Calibri"/>
          <w:noProof/>
          <w:sz w:val="22"/>
          <w:szCs w:val="22"/>
          <w:lang w:val="sr-Cyrl-R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4E97F510" w14:textId="77777777" w:rsidR="00A6690C" w:rsidRPr="00906440" w:rsidRDefault="00A6690C" w:rsidP="00A6690C">
      <w:pPr>
        <w:spacing w:before="120"/>
        <w:jc w:val="both"/>
        <w:rPr>
          <w:rFonts w:ascii="Calibri" w:hAnsi="Calibri" w:cs="Calibri"/>
          <w:noProof/>
          <w:sz w:val="22"/>
          <w:szCs w:val="22"/>
          <w:lang w:val="sr-Cyrl-RS"/>
        </w:rPr>
      </w:pPr>
      <w:r w:rsidRPr="00906440">
        <w:rPr>
          <w:rFonts w:ascii="Calibri" w:hAnsi="Calibri" w:cs="Calibri"/>
          <w:noProof/>
          <w:sz w:val="22"/>
          <w:szCs w:val="22"/>
          <w:lang w:val="sr-Cyrl-RS"/>
        </w:rPr>
        <w:lastRenderedPageBreak/>
        <w:t>Порез</w:t>
      </w:r>
      <w:r w:rsidRPr="00906440">
        <w:rPr>
          <w:rFonts w:ascii="Calibri" w:hAnsi="Calibri" w:cs="Calibri"/>
          <w:noProof/>
          <w:sz w:val="22"/>
          <w:szCs w:val="22"/>
        </w:rPr>
        <w:t>e</w:t>
      </w:r>
      <w:r w:rsidRPr="00906440">
        <w:rPr>
          <w:rFonts w:ascii="Calibri" w:hAnsi="Calibri" w:cs="Calibri"/>
          <w:noProof/>
          <w:sz w:val="22"/>
          <w:szCs w:val="22"/>
          <w:lang w:val="sr-Cyrl-RS"/>
        </w:rPr>
        <w:t xml:space="preserve"> и трошков</w:t>
      </w:r>
      <w:r w:rsidRPr="00906440">
        <w:rPr>
          <w:rFonts w:ascii="Calibri" w:hAnsi="Calibri" w:cs="Calibri"/>
          <w:noProof/>
          <w:sz w:val="22"/>
          <w:szCs w:val="22"/>
        </w:rPr>
        <w:t>e</w:t>
      </w:r>
      <w:r w:rsidRPr="00906440">
        <w:rPr>
          <w:rFonts w:ascii="Calibri" w:hAnsi="Calibri" w:cs="Calibri"/>
          <w:noProof/>
          <w:sz w:val="22"/>
          <w:szCs w:val="22"/>
          <w:lang w:val="sr-Cyrl-RS"/>
        </w:rPr>
        <w:t xml:space="preserve"> који произлазе из закљученог купопродајног уговора у целости сноси купац.</w:t>
      </w:r>
    </w:p>
    <w:p w14:paraId="36A14273" w14:textId="77777777" w:rsidR="00A6690C" w:rsidRPr="00906440" w:rsidRDefault="00A6690C" w:rsidP="00A6690C">
      <w:pPr>
        <w:ind w:right="389"/>
        <w:jc w:val="both"/>
        <w:rPr>
          <w:rFonts w:ascii="Calibri" w:hAnsi="Calibri" w:cs="Calibri"/>
          <w:noProof/>
          <w:sz w:val="22"/>
          <w:szCs w:val="22"/>
          <w:lang w:val="sr-Cyrl-RS"/>
        </w:rPr>
      </w:pPr>
    </w:p>
    <w:p w14:paraId="637F153C" w14:textId="77777777" w:rsidR="00A6690C" w:rsidRPr="00906440" w:rsidRDefault="00A6690C" w:rsidP="00A6690C">
      <w:pPr>
        <w:jc w:val="both"/>
        <w:rPr>
          <w:rFonts w:ascii="Calibri" w:hAnsi="Calibri" w:cs="Calibri"/>
          <w:sz w:val="22"/>
          <w:szCs w:val="22"/>
          <w:lang w:val="sr-Cyrl-CS"/>
        </w:rPr>
      </w:pPr>
      <w:r w:rsidRPr="00906440">
        <w:rPr>
          <w:rFonts w:ascii="Calibri" w:hAnsi="Calibri" w:cs="Calibri"/>
          <w:sz w:val="22"/>
          <w:szCs w:val="22"/>
          <w:lang w:val="sr-Cyrl-CS"/>
        </w:rPr>
        <w:t>Напомена: Није дозвољено достављање оригинала банкарске гаранције пошиљком (обичном или препорученом), путем факса, mail-a или на други начин, осим на начин прописан овим огласом.</w:t>
      </w:r>
    </w:p>
    <w:p w14:paraId="1D5E8860" w14:textId="77777777" w:rsidR="00A6690C" w:rsidRPr="00281519" w:rsidRDefault="00A6690C" w:rsidP="00A6690C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bookmarkEnd w:id="1"/>
    <w:p w14:paraId="7AF47C82" w14:textId="77777777" w:rsidR="003B6551" w:rsidRPr="00281519" w:rsidRDefault="003B65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598D80" w14:textId="3304D833" w:rsidR="003B6551" w:rsidRPr="007D3CF4" w:rsidRDefault="0026317C">
      <w:pPr>
        <w:jc w:val="both"/>
        <w:rPr>
          <w:rFonts w:asciiTheme="minorHAnsi" w:hAnsiTheme="minorHAnsi" w:cstheme="minorHAnsi"/>
          <w:noProof/>
          <w:sz w:val="22"/>
          <w:szCs w:val="22"/>
          <w:lang w:val="sr-Cyrl-RS"/>
        </w:rPr>
      </w:pPr>
      <w:r w:rsidRPr="00281519">
        <w:rPr>
          <w:rFonts w:asciiTheme="minorHAnsi" w:hAnsiTheme="minorHAnsi" w:cstheme="minorHAnsi"/>
          <w:noProof/>
          <w:sz w:val="22"/>
          <w:szCs w:val="22"/>
          <w:lang w:val="sr-Cyrl-RS"/>
        </w:rPr>
        <w:t>Oвлашћено лице: Миљан Станисавић,</w:t>
      </w:r>
      <w:r w:rsidR="00281519" w:rsidRPr="00281519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 </w:t>
      </w:r>
      <w:r w:rsidRPr="00281519">
        <w:rPr>
          <w:rFonts w:asciiTheme="minorHAnsi" w:hAnsiTheme="minorHAnsi" w:cstheme="minorHAnsi"/>
          <w:noProof/>
          <w:sz w:val="22"/>
          <w:szCs w:val="22"/>
          <w:lang w:val="sr-Cyrl-RS"/>
        </w:rPr>
        <w:t>телефон: 063/891-1981</w:t>
      </w:r>
      <w:r w:rsidR="007D3CF4">
        <w:rPr>
          <w:rFonts w:asciiTheme="minorHAnsi" w:hAnsiTheme="minorHAnsi" w:cstheme="minorHAnsi"/>
          <w:noProof/>
          <w:lang w:val="sr-Latn-RS"/>
        </w:rPr>
        <w:t>, email: miljanstanisavic</w:t>
      </w:r>
      <w:r w:rsidR="007D3CF4">
        <w:rPr>
          <w:rFonts w:asciiTheme="minorHAnsi" w:hAnsiTheme="minorHAnsi" w:cstheme="minorHAnsi"/>
          <w:noProof/>
        </w:rPr>
        <w:t>@gmail.com</w:t>
      </w:r>
    </w:p>
    <w:sectPr w:rsidR="003B6551" w:rsidRPr="007D3CF4">
      <w:footerReference w:type="default" r:id="rId8"/>
      <w:pgSz w:w="11907" w:h="16840" w:code="9"/>
      <w:pgMar w:top="1134" w:right="113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1FD71" w14:textId="77777777" w:rsidR="00C86E75" w:rsidRDefault="00C86E75" w:rsidP="00281519">
      <w:r>
        <w:separator/>
      </w:r>
    </w:p>
  </w:endnote>
  <w:endnote w:type="continuationSeparator" w:id="0">
    <w:p w14:paraId="12E00654" w14:textId="77777777" w:rsidR="00C86E75" w:rsidRDefault="00C86E75" w:rsidP="0028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916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0E412" w14:textId="34EE2A30" w:rsidR="00281519" w:rsidRDefault="002815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6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DB7978" w14:textId="77777777" w:rsidR="00281519" w:rsidRDefault="002815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7A1AA" w14:textId="77777777" w:rsidR="00C86E75" w:rsidRDefault="00C86E75" w:rsidP="00281519">
      <w:r>
        <w:separator/>
      </w:r>
    </w:p>
  </w:footnote>
  <w:footnote w:type="continuationSeparator" w:id="0">
    <w:p w14:paraId="3777DF4B" w14:textId="77777777" w:rsidR="00C86E75" w:rsidRDefault="00C86E75" w:rsidP="0028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0DA7"/>
    <w:multiLevelType w:val="hybridMultilevel"/>
    <w:tmpl w:val="BE204E6C"/>
    <w:lvl w:ilvl="0" w:tplc="241A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FFA2B62"/>
    <w:multiLevelType w:val="hybridMultilevel"/>
    <w:tmpl w:val="73EEE7FA"/>
    <w:lvl w:ilvl="0" w:tplc="F2BE1E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B4C24"/>
    <w:multiLevelType w:val="hybridMultilevel"/>
    <w:tmpl w:val="AA287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50620"/>
    <w:multiLevelType w:val="hybridMultilevel"/>
    <w:tmpl w:val="769CA9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14870"/>
    <w:multiLevelType w:val="hybridMultilevel"/>
    <w:tmpl w:val="444CA5DA"/>
    <w:lvl w:ilvl="0" w:tplc="4754B73E">
      <w:start w:val="3"/>
      <w:numFmt w:val="bullet"/>
      <w:lvlText w:val="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91047"/>
    <w:multiLevelType w:val="hybridMultilevel"/>
    <w:tmpl w:val="4FEC9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817B42"/>
    <w:multiLevelType w:val="hybridMultilevel"/>
    <w:tmpl w:val="BFFE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D07CA"/>
    <w:multiLevelType w:val="hybridMultilevel"/>
    <w:tmpl w:val="E67487FE"/>
    <w:lvl w:ilvl="0" w:tplc="C70A609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51"/>
    <w:rsid w:val="000037B6"/>
    <w:rsid w:val="000E5DB5"/>
    <w:rsid w:val="000F0417"/>
    <w:rsid w:val="001B5978"/>
    <w:rsid w:val="002543FE"/>
    <w:rsid w:val="0026317C"/>
    <w:rsid w:val="00281519"/>
    <w:rsid w:val="002D73D0"/>
    <w:rsid w:val="002E19CE"/>
    <w:rsid w:val="00367204"/>
    <w:rsid w:val="003B6551"/>
    <w:rsid w:val="0042621C"/>
    <w:rsid w:val="004F16BD"/>
    <w:rsid w:val="006D7DF5"/>
    <w:rsid w:val="007D3CF4"/>
    <w:rsid w:val="0091268F"/>
    <w:rsid w:val="00956D88"/>
    <w:rsid w:val="0096326E"/>
    <w:rsid w:val="00966F36"/>
    <w:rsid w:val="00980F86"/>
    <w:rsid w:val="00981468"/>
    <w:rsid w:val="00992E1D"/>
    <w:rsid w:val="009A6D6A"/>
    <w:rsid w:val="00A6690C"/>
    <w:rsid w:val="00AA6DDA"/>
    <w:rsid w:val="00AF54DB"/>
    <w:rsid w:val="00C86E75"/>
    <w:rsid w:val="00D84493"/>
    <w:rsid w:val="00E7787A"/>
    <w:rsid w:val="00E93A87"/>
    <w:rsid w:val="00F0571F"/>
    <w:rsid w:val="00F0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59962"/>
  <w15:docId w15:val="{7E81836F-FB96-456A-8A7F-CFBF4AD3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Pr>
      <w:b/>
      <w:color w:val="0000FF"/>
      <w:sz w:val="24"/>
      <w:szCs w:val="24"/>
      <w:lang w:val="sr-Cyrl-CS" w:eastAsia="en-US" w:bidi="ar-SA"/>
    </w:rPr>
  </w:style>
  <w:style w:type="paragraph" w:styleId="BodyText">
    <w:name w:val="Body Text"/>
    <w:basedOn w:val="Normal"/>
    <w:link w:val="BodyTextChar"/>
    <w:pPr>
      <w:jc w:val="both"/>
    </w:pPr>
    <w:rPr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1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519"/>
  </w:style>
  <w:style w:type="paragraph" w:styleId="Footer">
    <w:name w:val="footer"/>
    <w:basedOn w:val="Normal"/>
    <w:link w:val="FooterChar"/>
    <w:uiPriority w:val="99"/>
    <w:unhideWhenUsed/>
    <w:rsid w:val="00281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0452-3D81-4C01-ACDE-165E5B06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5864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стечајног судије Привредног суда у Нишу Посл</vt:lpstr>
    </vt:vector>
  </TitlesOfParts>
  <Company/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стечајног судије Привредног суда у Нишу Посл</dc:title>
  <dc:creator>Nina NM. Mihailovski</dc:creator>
  <cp:lastModifiedBy>Igor ID. Draskic</cp:lastModifiedBy>
  <cp:revision>2</cp:revision>
  <cp:lastPrinted>2020-02-07T10:43:00Z</cp:lastPrinted>
  <dcterms:created xsi:type="dcterms:W3CDTF">2020-05-21T11:59:00Z</dcterms:created>
  <dcterms:modified xsi:type="dcterms:W3CDTF">2020-05-21T11:59:00Z</dcterms:modified>
</cp:coreProperties>
</file>